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F7D49" w14:textId="77777777" w:rsidR="00A22BAF" w:rsidRPr="009C2406" w:rsidRDefault="00A22BAF" w:rsidP="00A22BAF">
      <w:pPr>
        <w:rPr>
          <w:b/>
          <w:bCs/>
          <w:sz w:val="22"/>
          <w:szCs w:val="22"/>
        </w:rPr>
      </w:pPr>
      <w:r w:rsidRPr="009C2406">
        <w:rPr>
          <w:b/>
          <w:bCs/>
          <w:sz w:val="22"/>
          <w:szCs w:val="22"/>
        </w:rPr>
        <w:t>Science Equipment Course Fees Reserve</w:t>
      </w:r>
    </w:p>
    <w:p w14:paraId="39F648F0" w14:textId="77777777" w:rsidR="00A22BAF" w:rsidRPr="009C2406" w:rsidRDefault="00A22BAF" w:rsidP="00A22BAF">
      <w:pPr>
        <w:rPr>
          <w:sz w:val="22"/>
          <w:szCs w:val="22"/>
        </w:rPr>
      </w:pPr>
      <w:r w:rsidRPr="009C2406">
        <w:rPr>
          <w:b/>
          <w:bCs/>
          <w:sz w:val="22"/>
          <w:szCs w:val="22"/>
        </w:rPr>
        <w:t>Policy and Procedures</w:t>
      </w:r>
      <w:r w:rsidRPr="009C2406">
        <w:rPr>
          <w:sz w:val="22"/>
          <w:szCs w:val="22"/>
        </w:rPr>
        <w:br/>
        <w:t>Natural Sciences Division – Hanover College</w:t>
      </w:r>
    </w:p>
    <w:p w14:paraId="48E8EC9E" w14:textId="77777777" w:rsidR="00A22BAF" w:rsidRPr="009C2406" w:rsidRDefault="00A22BAF" w:rsidP="00A22BAF">
      <w:pPr>
        <w:rPr>
          <w:b/>
          <w:bCs/>
          <w:sz w:val="22"/>
          <w:szCs w:val="22"/>
        </w:rPr>
      </w:pPr>
      <w:r w:rsidRPr="009C2406">
        <w:rPr>
          <w:b/>
          <w:bCs/>
          <w:sz w:val="22"/>
          <w:szCs w:val="22"/>
        </w:rPr>
        <w:t>I. Purpose</w:t>
      </w:r>
    </w:p>
    <w:p w14:paraId="2ACA56CC" w14:textId="2959AE59" w:rsidR="00A22BAF" w:rsidRDefault="00A22BAF" w:rsidP="00E94FDC">
      <w:pPr>
        <w:spacing w:after="0" w:line="240" w:lineRule="auto"/>
        <w:rPr>
          <w:sz w:val="22"/>
          <w:szCs w:val="22"/>
        </w:rPr>
      </w:pPr>
      <w:r w:rsidRPr="009C2406">
        <w:rPr>
          <w:sz w:val="22"/>
          <w:szCs w:val="22"/>
        </w:rPr>
        <w:t xml:space="preserve">The Science Equipment Course Fees Reserve supports the purchase and maintenance of equipment, software, and other durable resources essential for the safe and effective operation of laboratory courses and student research within the Natural Sciences Division. This fund provides a shared pool of resources for </w:t>
      </w:r>
      <w:r w:rsidR="005610FE" w:rsidRPr="009C2406">
        <w:rPr>
          <w:sz w:val="22"/>
          <w:szCs w:val="22"/>
        </w:rPr>
        <w:t>these departments/programs: Biology, Chemistry, Environmental Science, Geology, KIP, Physics &amp; Astronomy, Psychology.</w:t>
      </w:r>
    </w:p>
    <w:p w14:paraId="45A5C590" w14:textId="77777777" w:rsidR="00E94FDC" w:rsidRPr="009C2406" w:rsidRDefault="00E94FDC" w:rsidP="00E94FDC">
      <w:pPr>
        <w:spacing w:after="0" w:line="240" w:lineRule="auto"/>
        <w:rPr>
          <w:sz w:val="22"/>
          <w:szCs w:val="22"/>
        </w:rPr>
      </w:pPr>
    </w:p>
    <w:p w14:paraId="0B94563C" w14:textId="77777777" w:rsidR="00A22BAF" w:rsidRPr="009C2406" w:rsidRDefault="00A22BAF" w:rsidP="00A22BAF">
      <w:pPr>
        <w:rPr>
          <w:b/>
          <w:bCs/>
          <w:sz w:val="22"/>
          <w:szCs w:val="22"/>
        </w:rPr>
      </w:pPr>
      <w:r w:rsidRPr="009C2406">
        <w:rPr>
          <w:b/>
          <w:bCs/>
          <w:sz w:val="22"/>
          <w:szCs w:val="22"/>
        </w:rPr>
        <w:t>II. Funding Source and Structure</w:t>
      </w:r>
    </w:p>
    <w:p w14:paraId="54BCF8B6" w14:textId="77777777" w:rsidR="00A22BAF" w:rsidRDefault="00A22BAF" w:rsidP="00E94FDC">
      <w:pPr>
        <w:spacing w:after="0" w:line="240" w:lineRule="auto"/>
        <w:rPr>
          <w:sz w:val="22"/>
          <w:szCs w:val="22"/>
        </w:rPr>
      </w:pPr>
      <w:r w:rsidRPr="009C2406">
        <w:rPr>
          <w:sz w:val="22"/>
          <w:szCs w:val="22"/>
        </w:rPr>
        <w:t>The reserve is funded by course fees assessed to students during Fall and Winter-Spring registration each academic year.</w:t>
      </w:r>
    </w:p>
    <w:p w14:paraId="653DE3D3" w14:textId="77777777" w:rsidR="00E94FDC" w:rsidRPr="009C2406" w:rsidRDefault="00E94FDC" w:rsidP="00E94FDC">
      <w:pPr>
        <w:spacing w:after="0" w:line="240" w:lineRule="auto"/>
        <w:rPr>
          <w:sz w:val="22"/>
          <w:szCs w:val="22"/>
        </w:rPr>
      </w:pPr>
    </w:p>
    <w:p w14:paraId="04B53710" w14:textId="20AC2BDD" w:rsidR="00A22BAF" w:rsidRPr="009C2406" w:rsidRDefault="00A22BAF" w:rsidP="006C6306">
      <w:pPr>
        <w:numPr>
          <w:ilvl w:val="0"/>
          <w:numId w:val="1"/>
        </w:numPr>
        <w:spacing w:after="0" w:line="240" w:lineRule="auto"/>
        <w:rPr>
          <w:sz w:val="22"/>
          <w:szCs w:val="22"/>
        </w:rPr>
      </w:pPr>
      <w:r w:rsidRPr="009C2406">
        <w:rPr>
          <w:sz w:val="22"/>
          <w:szCs w:val="22"/>
        </w:rPr>
        <w:t xml:space="preserve">Fifty percent of collected fees are deposited into account </w:t>
      </w:r>
      <w:r w:rsidRPr="009C2406">
        <w:rPr>
          <w:b/>
          <w:bCs/>
          <w:sz w:val="22"/>
          <w:szCs w:val="22"/>
        </w:rPr>
        <w:t>1-0-12205-XXX</w:t>
      </w:r>
      <w:r w:rsidRPr="009C2406">
        <w:rPr>
          <w:sz w:val="22"/>
          <w:szCs w:val="22"/>
        </w:rPr>
        <w:t xml:space="preserve"> in </w:t>
      </w:r>
      <w:r w:rsidRPr="009C2406">
        <w:rPr>
          <w:b/>
          <w:bCs/>
          <w:sz w:val="22"/>
          <w:szCs w:val="22"/>
        </w:rPr>
        <w:t>October</w:t>
      </w:r>
      <w:r w:rsidRPr="009C2406">
        <w:rPr>
          <w:sz w:val="22"/>
          <w:szCs w:val="22"/>
        </w:rPr>
        <w:t xml:space="preserve"> and </w:t>
      </w:r>
      <w:r w:rsidRPr="009C2406">
        <w:rPr>
          <w:b/>
          <w:bCs/>
          <w:sz w:val="22"/>
          <w:szCs w:val="22"/>
        </w:rPr>
        <w:t>January</w:t>
      </w:r>
      <w:r w:rsidRPr="009C2406">
        <w:rPr>
          <w:sz w:val="22"/>
          <w:szCs w:val="22"/>
        </w:rPr>
        <w:t xml:space="preserve"> by the Business Office.</w:t>
      </w:r>
      <w:r w:rsidR="00533054" w:rsidRPr="009C2406">
        <w:rPr>
          <w:sz w:val="22"/>
          <w:szCs w:val="22"/>
        </w:rPr>
        <w:t xml:space="preserve"> </w:t>
      </w:r>
      <w:r w:rsidRPr="009C2406">
        <w:rPr>
          <w:sz w:val="22"/>
          <w:szCs w:val="22"/>
        </w:rPr>
        <w:t>The remaining fifty percent remains in the College’s general operating fund as budget relief.</w:t>
      </w:r>
    </w:p>
    <w:p w14:paraId="370E1197" w14:textId="1C1C9327" w:rsidR="00A22BAF" w:rsidRPr="009C2406" w:rsidRDefault="00A22BAF" w:rsidP="006C6306">
      <w:pPr>
        <w:numPr>
          <w:ilvl w:val="0"/>
          <w:numId w:val="1"/>
        </w:numPr>
        <w:spacing w:after="0" w:line="240" w:lineRule="auto"/>
        <w:rPr>
          <w:sz w:val="22"/>
          <w:szCs w:val="22"/>
        </w:rPr>
      </w:pPr>
      <w:r w:rsidRPr="009C2406">
        <w:rPr>
          <w:sz w:val="22"/>
          <w:szCs w:val="22"/>
        </w:rPr>
        <w:t>Fees from all eligible Natural Sciences courses</w:t>
      </w:r>
      <w:r w:rsidR="005610FE" w:rsidRPr="009C2406">
        <w:rPr>
          <w:sz w:val="22"/>
          <w:szCs w:val="22"/>
        </w:rPr>
        <w:t xml:space="preserve"> </w:t>
      </w:r>
      <w:r w:rsidRPr="009C2406">
        <w:rPr>
          <w:sz w:val="22"/>
          <w:szCs w:val="22"/>
        </w:rPr>
        <w:t>are deposited into this shared account.</w:t>
      </w:r>
    </w:p>
    <w:p w14:paraId="31C5B136" w14:textId="77777777" w:rsidR="00A22BAF" w:rsidRPr="009C2406" w:rsidRDefault="00A22BAF" w:rsidP="006C6306">
      <w:pPr>
        <w:numPr>
          <w:ilvl w:val="0"/>
          <w:numId w:val="1"/>
        </w:numPr>
        <w:spacing w:after="0" w:line="240" w:lineRule="auto"/>
        <w:rPr>
          <w:sz w:val="22"/>
          <w:szCs w:val="22"/>
        </w:rPr>
      </w:pPr>
      <w:r w:rsidRPr="009C2406">
        <w:rPr>
          <w:sz w:val="22"/>
          <w:szCs w:val="22"/>
        </w:rPr>
        <w:t>The Business Office reclaims fees from students who drop courses before the refund deadline.</w:t>
      </w:r>
    </w:p>
    <w:p w14:paraId="082C38EA" w14:textId="77777777" w:rsidR="00A22BAF" w:rsidRPr="009C2406" w:rsidRDefault="00A22BAF" w:rsidP="006C6306">
      <w:pPr>
        <w:numPr>
          <w:ilvl w:val="0"/>
          <w:numId w:val="1"/>
        </w:numPr>
        <w:spacing w:after="0" w:line="240" w:lineRule="auto"/>
        <w:rPr>
          <w:sz w:val="22"/>
          <w:szCs w:val="22"/>
        </w:rPr>
      </w:pPr>
      <w:r w:rsidRPr="009C2406">
        <w:rPr>
          <w:sz w:val="22"/>
          <w:szCs w:val="22"/>
        </w:rPr>
        <w:t>Unspent funds roll over from year to year.</w:t>
      </w:r>
    </w:p>
    <w:p w14:paraId="57523579" w14:textId="74F5E12E" w:rsidR="007B7622" w:rsidRPr="009C2406" w:rsidRDefault="007B7622" w:rsidP="006C6306">
      <w:pPr>
        <w:numPr>
          <w:ilvl w:val="0"/>
          <w:numId w:val="1"/>
        </w:numPr>
        <w:spacing w:after="0" w:line="240" w:lineRule="auto"/>
        <w:rPr>
          <w:sz w:val="22"/>
          <w:szCs w:val="22"/>
        </w:rPr>
      </w:pPr>
      <w:r w:rsidRPr="009C2406">
        <w:rPr>
          <w:sz w:val="22"/>
          <w:szCs w:val="22"/>
        </w:rPr>
        <w:t>Additions, deletions, or modifications regarding fees covered by this policy are proposed and approved/denied through the College’s annual budgeting and fees approval processes.</w:t>
      </w:r>
    </w:p>
    <w:p w14:paraId="239029BF" w14:textId="121AA256" w:rsidR="00A22BAF" w:rsidRPr="009C2406" w:rsidRDefault="00A22BAF" w:rsidP="00A22BAF">
      <w:pPr>
        <w:rPr>
          <w:sz w:val="22"/>
          <w:szCs w:val="22"/>
        </w:rPr>
      </w:pPr>
    </w:p>
    <w:p w14:paraId="6C9E5BD3" w14:textId="77777777" w:rsidR="00A22BAF" w:rsidRPr="009C2406" w:rsidRDefault="00A22BAF" w:rsidP="00A22BAF">
      <w:pPr>
        <w:rPr>
          <w:b/>
          <w:bCs/>
          <w:sz w:val="22"/>
          <w:szCs w:val="22"/>
        </w:rPr>
      </w:pPr>
      <w:r w:rsidRPr="009C2406">
        <w:rPr>
          <w:b/>
          <w:bCs/>
          <w:sz w:val="22"/>
          <w:szCs w:val="22"/>
        </w:rPr>
        <w:t>III. Allowable and Prohibited Expenditures</w:t>
      </w:r>
    </w:p>
    <w:p w14:paraId="1235ACE2" w14:textId="77777777" w:rsidR="00A22BAF" w:rsidRPr="009C2406" w:rsidRDefault="00A22BAF" w:rsidP="00A22BAF">
      <w:pPr>
        <w:rPr>
          <w:b/>
          <w:bCs/>
          <w:sz w:val="22"/>
          <w:szCs w:val="22"/>
        </w:rPr>
      </w:pPr>
      <w:r w:rsidRPr="009C2406">
        <w:rPr>
          <w:b/>
          <w:bCs/>
          <w:sz w:val="22"/>
          <w:szCs w:val="22"/>
        </w:rPr>
        <w:t>Allowable Uses</w:t>
      </w:r>
    </w:p>
    <w:p w14:paraId="30361E10" w14:textId="77777777" w:rsidR="00A22BAF" w:rsidRPr="009C2406" w:rsidRDefault="00A22BAF" w:rsidP="00E94FDC">
      <w:pPr>
        <w:spacing w:after="0" w:line="240" w:lineRule="auto"/>
        <w:rPr>
          <w:sz w:val="22"/>
          <w:szCs w:val="22"/>
        </w:rPr>
      </w:pPr>
      <w:r w:rsidRPr="009C2406">
        <w:rPr>
          <w:sz w:val="22"/>
          <w:szCs w:val="22"/>
        </w:rPr>
        <w:t>Funds may be used for durable items and services that support laboratory instruction and student research, including:</w:t>
      </w:r>
    </w:p>
    <w:p w14:paraId="5EDAD436" w14:textId="77777777" w:rsidR="009C2406" w:rsidRDefault="009C2406" w:rsidP="00E94FDC">
      <w:pPr>
        <w:spacing w:after="0" w:line="240" w:lineRule="auto"/>
        <w:rPr>
          <w:sz w:val="22"/>
          <w:szCs w:val="22"/>
        </w:rPr>
      </w:pPr>
    </w:p>
    <w:p w14:paraId="3F57CA3B" w14:textId="77777777" w:rsidR="00E94FDC" w:rsidRPr="009C2406" w:rsidRDefault="00E94FDC" w:rsidP="00E94FDC">
      <w:pPr>
        <w:spacing w:after="0" w:line="240" w:lineRule="auto"/>
        <w:rPr>
          <w:sz w:val="22"/>
          <w:szCs w:val="22"/>
        </w:rPr>
        <w:sectPr w:rsidR="00E94FDC" w:rsidRPr="009C2406" w:rsidSect="006C6306">
          <w:headerReference w:type="even" r:id="rId7"/>
          <w:headerReference w:type="default" r:id="rId8"/>
          <w:footerReference w:type="even" r:id="rId9"/>
          <w:footerReference w:type="default" r:id="rId10"/>
          <w:headerReference w:type="first" r:id="rId11"/>
          <w:footerReference w:type="first" r:id="rId12"/>
          <w:pgSz w:w="12240" w:h="15840"/>
          <w:pgMar w:top="990" w:right="1440" w:bottom="1080" w:left="1440" w:header="720" w:footer="720" w:gutter="0"/>
          <w:cols w:space="720"/>
          <w:docGrid w:linePitch="360"/>
        </w:sectPr>
      </w:pPr>
    </w:p>
    <w:p w14:paraId="272C1BFD" w14:textId="77777777" w:rsidR="00A22BAF" w:rsidRPr="009C2406" w:rsidRDefault="00A22BAF" w:rsidP="006C6306">
      <w:pPr>
        <w:numPr>
          <w:ilvl w:val="0"/>
          <w:numId w:val="2"/>
        </w:numPr>
        <w:spacing w:after="0" w:line="240" w:lineRule="auto"/>
        <w:rPr>
          <w:sz w:val="22"/>
          <w:szCs w:val="22"/>
        </w:rPr>
      </w:pPr>
      <w:r w:rsidRPr="009C2406">
        <w:rPr>
          <w:sz w:val="22"/>
          <w:szCs w:val="22"/>
        </w:rPr>
        <w:t>Laboratory equipment purchases or repair</w:t>
      </w:r>
    </w:p>
    <w:p w14:paraId="623A7A05" w14:textId="77777777" w:rsidR="00A22BAF" w:rsidRPr="009C2406" w:rsidRDefault="00A22BAF" w:rsidP="006C6306">
      <w:pPr>
        <w:numPr>
          <w:ilvl w:val="0"/>
          <w:numId w:val="2"/>
        </w:numPr>
        <w:spacing w:after="0" w:line="240" w:lineRule="auto"/>
        <w:rPr>
          <w:sz w:val="22"/>
          <w:szCs w:val="22"/>
        </w:rPr>
      </w:pPr>
      <w:r w:rsidRPr="009C2406">
        <w:rPr>
          <w:sz w:val="22"/>
          <w:szCs w:val="22"/>
        </w:rPr>
        <w:t>Service agreements</w:t>
      </w:r>
    </w:p>
    <w:p w14:paraId="78680C19" w14:textId="77777777" w:rsidR="00A22BAF" w:rsidRPr="009C2406" w:rsidRDefault="00A22BAF" w:rsidP="006C6306">
      <w:pPr>
        <w:numPr>
          <w:ilvl w:val="0"/>
          <w:numId w:val="2"/>
        </w:numPr>
        <w:spacing w:after="0" w:line="240" w:lineRule="auto"/>
        <w:rPr>
          <w:sz w:val="22"/>
          <w:szCs w:val="22"/>
        </w:rPr>
      </w:pPr>
      <w:r w:rsidRPr="009C2406">
        <w:rPr>
          <w:sz w:val="22"/>
          <w:szCs w:val="22"/>
        </w:rPr>
        <w:t>Software and licenses</w:t>
      </w:r>
    </w:p>
    <w:p w14:paraId="4AA505B4" w14:textId="77777777" w:rsidR="00A22BAF" w:rsidRPr="009C2406" w:rsidRDefault="00A22BAF" w:rsidP="006C6306">
      <w:pPr>
        <w:numPr>
          <w:ilvl w:val="0"/>
          <w:numId w:val="2"/>
        </w:numPr>
        <w:spacing w:after="0" w:line="240" w:lineRule="auto"/>
        <w:rPr>
          <w:sz w:val="22"/>
          <w:szCs w:val="22"/>
        </w:rPr>
      </w:pPr>
      <w:r w:rsidRPr="009C2406">
        <w:rPr>
          <w:sz w:val="22"/>
          <w:szCs w:val="22"/>
        </w:rPr>
        <w:t>Lab computers and accessories</w:t>
      </w:r>
    </w:p>
    <w:p w14:paraId="37D8B683" w14:textId="77777777" w:rsidR="00A22BAF" w:rsidRPr="009C2406" w:rsidRDefault="00A22BAF" w:rsidP="006C6306">
      <w:pPr>
        <w:numPr>
          <w:ilvl w:val="0"/>
          <w:numId w:val="2"/>
        </w:numPr>
        <w:spacing w:after="0" w:line="240" w:lineRule="auto"/>
        <w:rPr>
          <w:sz w:val="22"/>
          <w:szCs w:val="22"/>
        </w:rPr>
      </w:pPr>
      <w:r w:rsidRPr="009C2406">
        <w:rPr>
          <w:sz w:val="22"/>
          <w:szCs w:val="22"/>
        </w:rPr>
        <w:t>Durable lab supplies (e.g., reusable glassware)</w:t>
      </w:r>
    </w:p>
    <w:p w14:paraId="0D8DE6AC" w14:textId="2C2C7CF7" w:rsidR="005610FE" w:rsidRPr="009C2406" w:rsidRDefault="005610FE" w:rsidP="006C6306">
      <w:pPr>
        <w:numPr>
          <w:ilvl w:val="0"/>
          <w:numId w:val="2"/>
        </w:numPr>
        <w:spacing w:after="0" w:line="240" w:lineRule="auto"/>
        <w:rPr>
          <w:sz w:val="22"/>
          <w:szCs w:val="22"/>
        </w:rPr>
      </w:pPr>
      <w:r w:rsidRPr="009C2406">
        <w:rPr>
          <w:sz w:val="22"/>
          <w:szCs w:val="22"/>
        </w:rPr>
        <w:t>Human cadavers</w:t>
      </w:r>
    </w:p>
    <w:p w14:paraId="0FDE9D8E" w14:textId="0F460DD9" w:rsidR="00A22BAF" w:rsidRPr="009C2406" w:rsidRDefault="00A22BAF" w:rsidP="006C6306">
      <w:pPr>
        <w:numPr>
          <w:ilvl w:val="0"/>
          <w:numId w:val="2"/>
        </w:numPr>
        <w:spacing w:after="0" w:line="240" w:lineRule="auto"/>
        <w:rPr>
          <w:sz w:val="22"/>
          <w:szCs w:val="22"/>
        </w:rPr>
      </w:pPr>
      <w:r w:rsidRPr="009C2406">
        <w:rPr>
          <w:sz w:val="22"/>
          <w:szCs w:val="22"/>
        </w:rPr>
        <w:t>Lab animals</w:t>
      </w:r>
    </w:p>
    <w:p w14:paraId="25F6051D" w14:textId="77777777" w:rsidR="009C2406" w:rsidRPr="009C2406" w:rsidRDefault="009C2406" w:rsidP="00A22BAF">
      <w:pPr>
        <w:rPr>
          <w:b/>
          <w:bCs/>
          <w:sz w:val="22"/>
          <w:szCs w:val="22"/>
        </w:rPr>
        <w:sectPr w:rsidR="009C2406" w:rsidRPr="009C2406" w:rsidSect="009C2406">
          <w:type w:val="continuous"/>
          <w:pgSz w:w="12240" w:h="15840"/>
          <w:pgMar w:top="990" w:right="1440" w:bottom="1080" w:left="1440" w:header="720" w:footer="720" w:gutter="0"/>
          <w:cols w:num="2" w:space="720"/>
          <w:docGrid w:linePitch="360"/>
        </w:sectPr>
      </w:pPr>
    </w:p>
    <w:p w14:paraId="441EC0CB" w14:textId="77777777" w:rsidR="00E94FDC" w:rsidRDefault="00E94FDC" w:rsidP="00A22BAF">
      <w:pPr>
        <w:rPr>
          <w:b/>
          <w:bCs/>
          <w:sz w:val="22"/>
          <w:szCs w:val="22"/>
        </w:rPr>
      </w:pPr>
    </w:p>
    <w:p w14:paraId="6A4EFB85" w14:textId="0C0C04BF" w:rsidR="00A22BAF" w:rsidRPr="009C2406" w:rsidRDefault="00A22BAF" w:rsidP="00A22BAF">
      <w:pPr>
        <w:rPr>
          <w:b/>
          <w:bCs/>
          <w:sz w:val="22"/>
          <w:szCs w:val="22"/>
        </w:rPr>
      </w:pPr>
      <w:r w:rsidRPr="009C2406">
        <w:rPr>
          <w:b/>
          <w:bCs/>
          <w:sz w:val="22"/>
          <w:szCs w:val="22"/>
        </w:rPr>
        <w:t>Prohibited Uses</w:t>
      </w:r>
    </w:p>
    <w:p w14:paraId="7313FA3A" w14:textId="7E3D3102" w:rsidR="00A22BAF" w:rsidRPr="009C2406" w:rsidRDefault="00A22BAF" w:rsidP="00E94FDC">
      <w:pPr>
        <w:spacing w:after="0" w:line="240" w:lineRule="auto"/>
        <w:rPr>
          <w:sz w:val="22"/>
          <w:szCs w:val="22"/>
        </w:rPr>
      </w:pPr>
      <w:r w:rsidRPr="009C2406">
        <w:rPr>
          <w:sz w:val="22"/>
          <w:szCs w:val="22"/>
        </w:rPr>
        <w:t xml:space="preserve">Funds </w:t>
      </w:r>
      <w:r w:rsidR="005610FE" w:rsidRPr="009C2406">
        <w:rPr>
          <w:sz w:val="22"/>
          <w:szCs w:val="22"/>
        </w:rPr>
        <w:t>should</w:t>
      </w:r>
      <w:r w:rsidRPr="009C2406">
        <w:rPr>
          <w:sz w:val="22"/>
          <w:szCs w:val="22"/>
        </w:rPr>
        <w:t xml:space="preserve"> not be used for</w:t>
      </w:r>
      <w:r w:rsidR="00695C33">
        <w:rPr>
          <w:sz w:val="22"/>
          <w:szCs w:val="22"/>
        </w:rPr>
        <w:t xml:space="preserve"> expenses not directly related to laboratory instruction or student research or that are essentially one-time use</w:t>
      </w:r>
      <w:r w:rsidRPr="009C2406">
        <w:rPr>
          <w:sz w:val="22"/>
          <w:szCs w:val="22"/>
        </w:rPr>
        <w:t>:</w:t>
      </w:r>
    </w:p>
    <w:p w14:paraId="6A2EEE8B" w14:textId="77777777" w:rsidR="009C2406" w:rsidRPr="009C2406" w:rsidRDefault="009C2406" w:rsidP="006C6306">
      <w:pPr>
        <w:numPr>
          <w:ilvl w:val="0"/>
          <w:numId w:val="3"/>
        </w:numPr>
        <w:spacing w:after="0" w:line="240" w:lineRule="auto"/>
        <w:rPr>
          <w:sz w:val="22"/>
          <w:szCs w:val="22"/>
        </w:rPr>
        <w:sectPr w:rsidR="009C2406" w:rsidRPr="009C2406" w:rsidSect="009C2406">
          <w:type w:val="continuous"/>
          <w:pgSz w:w="12240" w:h="15840"/>
          <w:pgMar w:top="990" w:right="1440" w:bottom="1080" w:left="1440" w:header="720" w:footer="720" w:gutter="0"/>
          <w:cols w:space="720"/>
          <w:docGrid w:linePitch="360"/>
        </w:sectPr>
      </w:pPr>
    </w:p>
    <w:p w14:paraId="607365E6" w14:textId="7026EDD0" w:rsidR="00A22BAF" w:rsidRPr="009C2406" w:rsidRDefault="00011A5F" w:rsidP="006C6306">
      <w:pPr>
        <w:numPr>
          <w:ilvl w:val="0"/>
          <w:numId w:val="3"/>
        </w:numPr>
        <w:spacing w:after="0" w:line="240" w:lineRule="auto"/>
        <w:rPr>
          <w:sz w:val="22"/>
          <w:szCs w:val="22"/>
        </w:rPr>
      </w:pPr>
      <w:r w:rsidRPr="009C2406">
        <w:rPr>
          <w:sz w:val="22"/>
          <w:szCs w:val="22"/>
        </w:rPr>
        <w:t>Disposables</w:t>
      </w:r>
      <w:r w:rsidR="00A22BAF" w:rsidRPr="009C2406">
        <w:rPr>
          <w:sz w:val="22"/>
          <w:szCs w:val="22"/>
        </w:rPr>
        <w:t xml:space="preserve"> (e.g., reagents, gloves, paper towels, ink)</w:t>
      </w:r>
    </w:p>
    <w:p w14:paraId="461918DF" w14:textId="77777777" w:rsidR="00A22BAF" w:rsidRPr="009C2406" w:rsidRDefault="00A22BAF" w:rsidP="006C6306">
      <w:pPr>
        <w:numPr>
          <w:ilvl w:val="0"/>
          <w:numId w:val="3"/>
        </w:numPr>
        <w:spacing w:after="0" w:line="240" w:lineRule="auto"/>
        <w:rPr>
          <w:sz w:val="22"/>
          <w:szCs w:val="22"/>
        </w:rPr>
      </w:pPr>
      <w:r w:rsidRPr="009C2406">
        <w:rPr>
          <w:sz w:val="22"/>
          <w:szCs w:val="22"/>
        </w:rPr>
        <w:t>Faculty or staff compensation</w:t>
      </w:r>
    </w:p>
    <w:p w14:paraId="4BDC0791" w14:textId="77777777" w:rsidR="00A22BAF" w:rsidRPr="009C2406" w:rsidRDefault="00A22BAF" w:rsidP="006C6306">
      <w:pPr>
        <w:numPr>
          <w:ilvl w:val="0"/>
          <w:numId w:val="3"/>
        </w:numPr>
        <w:spacing w:after="0" w:line="240" w:lineRule="auto"/>
        <w:rPr>
          <w:sz w:val="22"/>
          <w:szCs w:val="22"/>
        </w:rPr>
      </w:pPr>
      <w:r w:rsidRPr="009C2406">
        <w:rPr>
          <w:sz w:val="22"/>
          <w:szCs w:val="22"/>
        </w:rPr>
        <w:t>Student wages</w:t>
      </w:r>
    </w:p>
    <w:p w14:paraId="531B165F" w14:textId="77777777" w:rsidR="00A22BAF" w:rsidRPr="009C2406" w:rsidRDefault="00A22BAF" w:rsidP="006C6306">
      <w:pPr>
        <w:numPr>
          <w:ilvl w:val="0"/>
          <w:numId w:val="3"/>
        </w:numPr>
        <w:spacing w:after="0" w:line="240" w:lineRule="auto"/>
        <w:rPr>
          <w:sz w:val="22"/>
          <w:szCs w:val="22"/>
        </w:rPr>
      </w:pPr>
      <w:r w:rsidRPr="009C2406">
        <w:rPr>
          <w:sz w:val="22"/>
          <w:szCs w:val="22"/>
        </w:rPr>
        <w:t>Travel</w:t>
      </w:r>
    </w:p>
    <w:p w14:paraId="51362C67" w14:textId="77777777" w:rsidR="00A22BAF" w:rsidRPr="009C2406" w:rsidRDefault="00A22BAF" w:rsidP="006C6306">
      <w:pPr>
        <w:numPr>
          <w:ilvl w:val="0"/>
          <w:numId w:val="3"/>
        </w:numPr>
        <w:spacing w:after="0" w:line="240" w:lineRule="auto"/>
        <w:rPr>
          <w:sz w:val="22"/>
          <w:szCs w:val="22"/>
        </w:rPr>
      </w:pPr>
      <w:r w:rsidRPr="009C2406">
        <w:rPr>
          <w:sz w:val="22"/>
          <w:szCs w:val="22"/>
        </w:rPr>
        <w:t>Office supplies</w:t>
      </w:r>
    </w:p>
    <w:p w14:paraId="265248DB" w14:textId="77777777" w:rsidR="00A22BAF" w:rsidRPr="009C2406" w:rsidRDefault="00A22BAF" w:rsidP="006C6306">
      <w:pPr>
        <w:numPr>
          <w:ilvl w:val="0"/>
          <w:numId w:val="3"/>
        </w:numPr>
        <w:spacing w:after="0" w:line="240" w:lineRule="auto"/>
        <w:rPr>
          <w:sz w:val="22"/>
          <w:szCs w:val="22"/>
        </w:rPr>
      </w:pPr>
      <w:r w:rsidRPr="009C2406">
        <w:rPr>
          <w:sz w:val="22"/>
          <w:szCs w:val="22"/>
        </w:rPr>
        <w:t>Events or food</w:t>
      </w:r>
    </w:p>
    <w:p w14:paraId="25822F80" w14:textId="77777777" w:rsidR="009C2406" w:rsidRPr="009C2406" w:rsidRDefault="009C2406" w:rsidP="00A22BAF">
      <w:pPr>
        <w:rPr>
          <w:sz w:val="22"/>
          <w:szCs w:val="22"/>
        </w:rPr>
        <w:sectPr w:rsidR="009C2406" w:rsidRPr="009C2406" w:rsidSect="009C2406">
          <w:type w:val="continuous"/>
          <w:pgSz w:w="12240" w:h="15840"/>
          <w:pgMar w:top="990" w:right="1440" w:bottom="1080" w:left="1440" w:header="720" w:footer="720" w:gutter="0"/>
          <w:cols w:num="2" w:space="720"/>
          <w:docGrid w:linePitch="360"/>
        </w:sectPr>
      </w:pPr>
    </w:p>
    <w:p w14:paraId="4D008272" w14:textId="6A4C4CD6" w:rsidR="00A22BAF" w:rsidRPr="009C2406" w:rsidRDefault="00A22BAF" w:rsidP="00A22BAF">
      <w:pPr>
        <w:rPr>
          <w:sz w:val="22"/>
          <w:szCs w:val="22"/>
        </w:rPr>
      </w:pPr>
    </w:p>
    <w:p w14:paraId="27992FA0" w14:textId="77777777" w:rsidR="00A22BAF" w:rsidRPr="009C2406" w:rsidRDefault="00A22BAF" w:rsidP="00A22BAF">
      <w:pPr>
        <w:rPr>
          <w:b/>
          <w:bCs/>
          <w:sz w:val="22"/>
          <w:szCs w:val="22"/>
        </w:rPr>
      </w:pPr>
      <w:r w:rsidRPr="009C2406">
        <w:rPr>
          <w:b/>
          <w:bCs/>
          <w:sz w:val="22"/>
          <w:szCs w:val="22"/>
        </w:rPr>
        <w:lastRenderedPageBreak/>
        <w:t>IV. Governance and Decision-Making Process</w:t>
      </w:r>
    </w:p>
    <w:p w14:paraId="3AC4C94B" w14:textId="77777777" w:rsidR="00A22BAF" w:rsidRPr="009C2406" w:rsidRDefault="00A22BAF" w:rsidP="00A22BAF">
      <w:pPr>
        <w:rPr>
          <w:b/>
          <w:bCs/>
          <w:sz w:val="22"/>
          <w:szCs w:val="22"/>
        </w:rPr>
      </w:pPr>
      <w:r w:rsidRPr="009C2406">
        <w:rPr>
          <w:b/>
          <w:bCs/>
          <w:sz w:val="22"/>
          <w:szCs w:val="22"/>
        </w:rPr>
        <w:t>Participating Departments</w:t>
      </w:r>
    </w:p>
    <w:p w14:paraId="2A6B169E" w14:textId="77777777" w:rsidR="00A22BAF" w:rsidRPr="009C2406" w:rsidRDefault="00A22BAF" w:rsidP="00A22BAF">
      <w:pPr>
        <w:rPr>
          <w:sz w:val="22"/>
          <w:szCs w:val="22"/>
        </w:rPr>
      </w:pPr>
      <w:r w:rsidRPr="009C2406">
        <w:rPr>
          <w:sz w:val="22"/>
          <w:szCs w:val="22"/>
        </w:rPr>
        <w:t>This fund is used collectively by the departments of:</w:t>
      </w:r>
    </w:p>
    <w:p w14:paraId="694F731A" w14:textId="77777777" w:rsidR="00A22BAF" w:rsidRPr="009C2406" w:rsidRDefault="00A22BAF" w:rsidP="006C6306">
      <w:pPr>
        <w:numPr>
          <w:ilvl w:val="0"/>
          <w:numId w:val="4"/>
        </w:numPr>
        <w:spacing w:after="0" w:line="240" w:lineRule="auto"/>
        <w:rPr>
          <w:sz w:val="22"/>
          <w:szCs w:val="22"/>
        </w:rPr>
      </w:pPr>
      <w:r w:rsidRPr="009C2406">
        <w:rPr>
          <w:sz w:val="22"/>
          <w:szCs w:val="22"/>
        </w:rPr>
        <w:t>Biology</w:t>
      </w:r>
    </w:p>
    <w:p w14:paraId="27FFA621" w14:textId="77777777" w:rsidR="00A22BAF" w:rsidRPr="009C2406" w:rsidRDefault="00A22BAF" w:rsidP="006C6306">
      <w:pPr>
        <w:numPr>
          <w:ilvl w:val="0"/>
          <w:numId w:val="4"/>
        </w:numPr>
        <w:spacing w:after="0" w:line="240" w:lineRule="auto"/>
        <w:rPr>
          <w:sz w:val="22"/>
          <w:szCs w:val="22"/>
        </w:rPr>
      </w:pPr>
      <w:r w:rsidRPr="009C2406">
        <w:rPr>
          <w:sz w:val="22"/>
          <w:szCs w:val="22"/>
        </w:rPr>
        <w:t>Chemistry</w:t>
      </w:r>
    </w:p>
    <w:p w14:paraId="1595193B" w14:textId="77777777" w:rsidR="00A22BAF" w:rsidRPr="009C2406" w:rsidRDefault="00A22BAF" w:rsidP="006C6306">
      <w:pPr>
        <w:numPr>
          <w:ilvl w:val="0"/>
          <w:numId w:val="4"/>
        </w:numPr>
        <w:spacing w:after="0" w:line="240" w:lineRule="auto"/>
        <w:rPr>
          <w:sz w:val="22"/>
          <w:szCs w:val="22"/>
        </w:rPr>
      </w:pPr>
      <w:r w:rsidRPr="009C2406">
        <w:rPr>
          <w:sz w:val="22"/>
          <w:szCs w:val="22"/>
        </w:rPr>
        <w:t>Geology</w:t>
      </w:r>
    </w:p>
    <w:p w14:paraId="13F5ACBA" w14:textId="77777777" w:rsidR="00A22BAF" w:rsidRPr="009C2406" w:rsidRDefault="00A22BAF" w:rsidP="006C6306">
      <w:pPr>
        <w:numPr>
          <w:ilvl w:val="0"/>
          <w:numId w:val="4"/>
        </w:numPr>
        <w:spacing w:after="0" w:line="240" w:lineRule="auto"/>
        <w:rPr>
          <w:sz w:val="22"/>
          <w:szCs w:val="22"/>
        </w:rPr>
      </w:pPr>
      <w:r w:rsidRPr="009C2406">
        <w:rPr>
          <w:sz w:val="22"/>
          <w:szCs w:val="22"/>
        </w:rPr>
        <w:t>Kinesiology &amp; Integrative Physiology (KIP)</w:t>
      </w:r>
    </w:p>
    <w:p w14:paraId="52F00933" w14:textId="77777777" w:rsidR="00A22BAF" w:rsidRPr="009C2406" w:rsidRDefault="00A22BAF" w:rsidP="006C6306">
      <w:pPr>
        <w:numPr>
          <w:ilvl w:val="0"/>
          <w:numId w:val="4"/>
        </w:numPr>
        <w:spacing w:after="0" w:line="240" w:lineRule="auto"/>
        <w:rPr>
          <w:sz w:val="22"/>
          <w:szCs w:val="22"/>
        </w:rPr>
      </w:pPr>
      <w:r w:rsidRPr="009C2406">
        <w:rPr>
          <w:sz w:val="22"/>
          <w:szCs w:val="22"/>
        </w:rPr>
        <w:t>Physics &amp; Astronomy</w:t>
      </w:r>
    </w:p>
    <w:p w14:paraId="5D9DDB1E" w14:textId="77777777" w:rsidR="00A22BAF" w:rsidRPr="009C2406" w:rsidRDefault="00A22BAF" w:rsidP="006C6306">
      <w:pPr>
        <w:numPr>
          <w:ilvl w:val="0"/>
          <w:numId w:val="4"/>
        </w:numPr>
        <w:spacing w:after="0" w:line="240" w:lineRule="auto"/>
        <w:rPr>
          <w:sz w:val="22"/>
          <w:szCs w:val="22"/>
        </w:rPr>
      </w:pPr>
      <w:r w:rsidRPr="009C2406">
        <w:rPr>
          <w:sz w:val="22"/>
          <w:szCs w:val="22"/>
        </w:rPr>
        <w:t>Psychology</w:t>
      </w:r>
    </w:p>
    <w:p w14:paraId="7FFC0816" w14:textId="77777777" w:rsidR="006C6306" w:rsidRPr="009C2406" w:rsidRDefault="006C6306" w:rsidP="00A22BAF">
      <w:pPr>
        <w:rPr>
          <w:b/>
          <w:bCs/>
          <w:sz w:val="22"/>
          <w:szCs w:val="22"/>
        </w:rPr>
      </w:pPr>
    </w:p>
    <w:p w14:paraId="0BEBF5D4" w14:textId="694465A3" w:rsidR="00A22BAF" w:rsidRPr="009C2406" w:rsidRDefault="00A22BAF" w:rsidP="00A22BAF">
      <w:pPr>
        <w:rPr>
          <w:b/>
          <w:bCs/>
          <w:sz w:val="22"/>
          <w:szCs w:val="22"/>
        </w:rPr>
      </w:pPr>
      <w:r w:rsidRPr="009C2406">
        <w:rPr>
          <w:b/>
          <w:bCs/>
          <w:sz w:val="22"/>
          <w:szCs w:val="22"/>
        </w:rPr>
        <w:t>Annual Planning Cycle</w:t>
      </w:r>
    </w:p>
    <w:p w14:paraId="76427704" w14:textId="17F92A26" w:rsidR="00A22BAF" w:rsidRPr="003F2B4C" w:rsidRDefault="00A22BAF" w:rsidP="00A22BAF">
      <w:pPr>
        <w:rPr>
          <w:i/>
          <w:iCs/>
          <w:sz w:val="22"/>
          <w:szCs w:val="22"/>
        </w:rPr>
      </w:pPr>
      <w:r w:rsidRPr="003F2B4C">
        <w:rPr>
          <w:i/>
          <w:iCs/>
          <w:sz w:val="22"/>
          <w:szCs w:val="22"/>
        </w:rPr>
        <w:t>August–September</w:t>
      </w:r>
    </w:p>
    <w:p w14:paraId="6EDCCCB6" w14:textId="37066137" w:rsidR="00A22BAF" w:rsidRPr="009C2406" w:rsidRDefault="00A22BAF" w:rsidP="006C6306">
      <w:pPr>
        <w:numPr>
          <w:ilvl w:val="0"/>
          <w:numId w:val="5"/>
        </w:numPr>
        <w:spacing w:after="0" w:line="240" w:lineRule="auto"/>
        <w:rPr>
          <w:sz w:val="22"/>
          <w:szCs w:val="22"/>
        </w:rPr>
      </w:pPr>
      <w:r w:rsidRPr="009C2406">
        <w:rPr>
          <w:sz w:val="22"/>
          <w:szCs w:val="22"/>
        </w:rPr>
        <w:t xml:space="preserve">Each department submits a prioritized list of funding requests for the </w:t>
      </w:r>
      <w:r w:rsidRPr="003F2B4C">
        <w:rPr>
          <w:i/>
          <w:iCs/>
          <w:sz w:val="22"/>
          <w:szCs w:val="22"/>
        </w:rPr>
        <w:t>current</w:t>
      </w:r>
      <w:r w:rsidRPr="009C2406">
        <w:rPr>
          <w:sz w:val="22"/>
          <w:szCs w:val="22"/>
        </w:rPr>
        <w:t xml:space="preserve"> fiscal year (</w:t>
      </w:r>
      <w:r w:rsidR="00AD6A50" w:rsidRPr="009C2406">
        <w:rPr>
          <w:sz w:val="22"/>
          <w:szCs w:val="22"/>
        </w:rPr>
        <w:t>July 1-June 30</w:t>
      </w:r>
      <w:r w:rsidRPr="009C2406">
        <w:rPr>
          <w:sz w:val="22"/>
          <w:szCs w:val="22"/>
        </w:rPr>
        <w:t>).</w:t>
      </w:r>
    </w:p>
    <w:p w14:paraId="27A6507D" w14:textId="708245A6" w:rsidR="00A22BAF" w:rsidRPr="009C2406" w:rsidRDefault="00A22BAF" w:rsidP="006C6306">
      <w:pPr>
        <w:numPr>
          <w:ilvl w:val="0"/>
          <w:numId w:val="5"/>
        </w:numPr>
        <w:spacing w:after="0" w:line="240" w:lineRule="auto"/>
        <w:rPr>
          <w:sz w:val="22"/>
          <w:szCs w:val="22"/>
        </w:rPr>
      </w:pPr>
      <w:r w:rsidRPr="009C2406">
        <w:rPr>
          <w:sz w:val="22"/>
          <w:szCs w:val="22"/>
        </w:rPr>
        <w:t>The department chairs meet with the Office of Academic Affairs to:</w:t>
      </w:r>
    </w:p>
    <w:p w14:paraId="326A9451" w14:textId="2C8109D9" w:rsidR="00A22BAF" w:rsidRPr="009C2406" w:rsidRDefault="00A22BAF" w:rsidP="006C6306">
      <w:pPr>
        <w:numPr>
          <w:ilvl w:val="1"/>
          <w:numId w:val="5"/>
        </w:numPr>
        <w:spacing w:after="0" w:line="240" w:lineRule="auto"/>
        <w:rPr>
          <w:sz w:val="22"/>
          <w:szCs w:val="22"/>
        </w:rPr>
      </w:pPr>
      <w:r w:rsidRPr="009C2406">
        <w:rPr>
          <w:sz w:val="22"/>
          <w:szCs w:val="22"/>
        </w:rPr>
        <w:t>Review current-year requests and establish spending priorities</w:t>
      </w:r>
      <w:r w:rsidR="003F2B4C">
        <w:rPr>
          <w:sz w:val="22"/>
          <w:szCs w:val="22"/>
        </w:rPr>
        <w:t>.</w:t>
      </w:r>
    </w:p>
    <w:p w14:paraId="3DC8B726" w14:textId="6D6383AD" w:rsidR="00A22BAF" w:rsidRPr="009C2406" w:rsidRDefault="00A22BAF" w:rsidP="006C6306">
      <w:pPr>
        <w:numPr>
          <w:ilvl w:val="1"/>
          <w:numId w:val="5"/>
        </w:numPr>
        <w:spacing w:after="0" w:line="240" w:lineRule="auto"/>
        <w:rPr>
          <w:sz w:val="22"/>
          <w:szCs w:val="22"/>
        </w:rPr>
      </w:pPr>
      <w:r w:rsidRPr="009C2406">
        <w:rPr>
          <w:sz w:val="22"/>
          <w:szCs w:val="22"/>
        </w:rPr>
        <w:t xml:space="preserve">Determine whether a portion of the fund should be held in reserve for </w:t>
      </w:r>
      <w:r w:rsidRPr="003F2B4C">
        <w:rPr>
          <w:i/>
          <w:iCs/>
          <w:sz w:val="22"/>
          <w:szCs w:val="22"/>
        </w:rPr>
        <w:t>the next fiscal year</w:t>
      </w:r>
      <w:r w:rsidR="003F2B4C">
        <w:rPr>
          <w:i/>
          <w:iCs/>
          <w:sz w:val="22"/>
          <w:szCs w:val="22"/>
        </w:rPr>
        <w:t>.</w:t>
      </w:r>
    </w:p>
    <w:p w14:paraId="582710D5" w14:textId="1DBF6661" w:rsidR="00A22BAF" w:rsidRPr="009C2406" w:rsidRDefault="00A22BAF" w:rsidP="006C6306">
      <w:pPr>
        <w:numPr>
          <w:ilvl w:val="1"/>
          <w:numId w:val="5"/>
        </w:numPr>
        <w:spacing w:after="0" w:line="240" w:lineRule="auto"/>
        <w:rPr>
          <w:sz w:val="22"/>
          <w:szCs w:val="22"/>
        </w:rPr>
      </w:pPr>
      <w:r w:rsidRPr="009C2406">
        <w:rPr>
          <w:sz w:val="22"/>
          <w:szCs w:val="22"/>
        </w:rPr>
        <w:t>Discuss potential cost-sharing and collaborative purchases</w:t>
      </w:r>
      <w:r w:rsidR="003F2B4C">
        <w:rPr>
          <w:sz w:val="22"/>
          <w:szCs w:val="22"/>
        </w:rPr>
        <w:t>.</w:t>
      </w:r>
    </w:p>
    <w:p w14:paraId="2CBBCC44" w14:textId="77777777" w:rsidR="006C6306" w:rsidRPr="009C2406" w:rsidRDefault="006C6306" w:rsidP="00A22BAF">
      <w:pPr>
        <w:rPr>
          <w:b/>
          <w:bCs/>
          <w:sz w:val="22"/>
          <w:szCs w:val="22"/>
        </w:rPr>
      </w:pPr>
    </w:p>
    <w:p w14:paraId="6DBDA806" w14:textId="5CC92C78" w:rsidR="00A22BAF" w:rsidRPr="003F2B4C" w:rsidRDefault="00A22BAF" w:rsidP="00A22BAF">
      <w:pPr>
        <w:rPr>
          <w:i/>
          <w:iCs/>
          <w:sz w:val="22"/>
          <w:szCs w:val="22"/>
        </w:rPr>
      </w:pPr>
      <w:r w:rsidRPr="003F2B4C">
        <w:rPr>
          <w:i/>
          <w:iCs/>
          <w:sz w:val="22"/>
          <w:szCs w:val="22"/>
        </w:rPr>
        <w:t>Mid-Year and Emergent Requests</w:t>
      </w:r>
    </w:p>
    <w:p w14:paraId="1FE3D68F" w14:textId="77777777" w:rsidR="00A22BAF" w:rsidRPr="009C2406" w:rsidRDefault="00A22BAF" w:rsidP="006C6306">
      <w:pPr>
        <w:numPr>
          <w:ilvl w:val="0"/>
          <w:numId w:val="6"/>
        </w:numPr>
        <w:spacing w:after="0" w:line="240" w:lineRule="auto"/>
        <w:rPr>
          <w:sz w:val="22"/>
          <w:szCs w:val="22"/>
        </w:rPr>
      </w:pPr>
      <w:r w:rsidRPr="009C2406">
        <w:rPr>
          <w:sz w:val="22"/>
          <w:szCs w:val="22"/>
        </w:rPr>
        <w:t>Chairs may request access to reserve funds during the fiscal year.</w:t>
      </w:r>
    </w:p>
    <w:p w14:paraId="02AAE07A" w14:textId="77777777" w:rsidR="00A22BAF" w:rsidRPr="009C2406" w:rsidRDefault="00A22BAF" w:rsidP="006C6306">
      <w:pPr>
        <w:numPr>
          <w:ilvl w:val="0"/>
          <w:numId w:val="6"/>
        </w:numPr>
        <w:spacing w:after="0" w:line="240" w:lineRule="auto"/>
        <w:rPr>
          <w:sz w:val="22"/>
          <w:szCs w:val="22"/>
        </w:rPr>
      </w:pPr>
      <w:r w:rsidRPr="009C2406">
        <w:rPr>
          <w:sz w:val="22"/>
          <w:szCs w:val="22"/>
        </w:rPr>
        <w:t>Emergent requests are submitted to and approved by the Office of Academic Affairs.</w:t>
      </w:r>
    </w:p>
    <w:p w14:paraId="70726875" w14:textId="77777777" w:rsidR="00A22BAF" w:rsidRPr="009C2406" w:rsidRDefault="00A22BAF" w:rsidP="006C6306">
      <w:pPr>
        <w:numPr>
          <w:ilvl w:val="0"/>
          <w:numId w:val="6"/>
        </w:numPr>
        <w:spacing w:after="0" w:line="240" w:lineRule="auto"/>
        <w:rPr>
          <w:sz w:val="22"/>
          <w:szCs w:val="22"/>
        </w:rPr>
      </w:pPr>
      <w:r w:rsidRPr="009C2406">
        <w:rPr>
          <w:sz w:val="22"/>
          <w:szCs w:val="22"/>
        </w:rPr>
        <w:t>The Science Center Support Coordinator processes all expenditures.</w:t>
      </w:r>
    </w:p>
    <w:p w14:paraId="701E3CED" w14:textId="0C2C97C5" w:rsidR="00A22BAF" w:rsidRPr="009C2406" w:rsidRDefault="00A22BAF" w:rsidP="00A22BAF">
      <w:pPr>
        <w:rPr>
          <w:sz w:val="22"/>
          <w:szCs w:val="22"/>
        </w:rPr>
      </w:pPr>
    </w:p>
    <w:p w14:paraId="53143A92" w14:textId="77777777" w:rsidR="00A22BAF" w:rsidRPr="009C2406" w:rsidRDefault="00A22BAF" w:rsidP="00A22BAF">
      <w:pPr>
        <w:rPr>
          <w:b/>
          <w:bCs/>
          <w:sz w:val="22"/>
          <w:szCs w:val="22"/>
        </w:rPr>
      </w:pPr>
      <w:r w:rsidRPr="009C2406">
        <w:rPr>
          <w:b/>
          <w:bCs/>
          <w:sz w:val="22"/>
          <w:szCs w:val="22"/>
        </w:rPr>
        <w:t>V. Spending Guidelines and Equity Considerations</w:t>
      </w:r>
    </w:p>
    <w:p w14:paraId="4A17D139" w14:textId="77777777" w:rsidR="00A22BAF" w:rsidRPr="009C2406" w:rsidRDefault="00A22BAF" w:rsidP="006C6306">
      <w:pPr>
        <w:numPr>
          <w:ilvl w:val="0"/>
          <w:numId w:val="7"/>
        </w:numPr>
        <w:spacing w:after="0" w:line="240" w:lineRule="auto"/>
        <w:rPr>
          <w:sz w:val="22"/>
          <w:szCs w:val="22"/>
        </w:rPr>
      </w:pPr>
      <w:r w:rsidRPr="009C2406">
        <w:rPr>
          <w:sz w:val="22"/>
          <w:szCs w:val="22"/>
        </w:rPr>
        <w:t>Over time, expenditures should reasonably reflect the distribution of fee revenue by department.</w:t>
      </w:r>
    </w:p>
    <w:p w14:paraId="0EC25DEA" w14:textId="77777777" w:rsidR="00A22BAF" w:rsidRPr="009C2406" w:rsidRDefault="00A22BAF" w:rsidP="006C6306">
      <w:pPr>
        <w:numPr>
          <w:ilvl w:val="0"/>
          <w:numId w:val="7"/>
        </w:numPr>
        <w:spacing w:after="0" w:line="240" w:lineRule="auto"/>
        <w:rPr>
          <w:sz w:val="22"/>
          <w:szCs w:val="22"/>
        </w:rPr>
      </w:pPr>
      <w:r w:rsidRPr="009C2406">
        <w:rPr>
          <w:sz w:val="22"/>
          <w:szCs w:val="22"/>
        </w:rPr>
        <w:t>Variations are expected due to differences in program needs and equipment life cycles.</w:t>
      </w:r>
    </w:p>
    <w:p w14:paraId="51998431" w14:textId="77777777" w:rsidR="00A22BAF" w:rsidRPr="009C2406" w:rsidRDefault="00A22BAF" w:rsidP="006C6306">
      <w:pPr>
        <w:numPr>
          <w:ilvl w:val="0"/>
          <w:numId w:val="7"/>
        </w:numPr>
        <w:spacing w:after="0" w:line="240" w:lineRule="auto"/>
        <w:rPr>
          <w:sz w:val="22"/>
          <w:szCs w:val="22"/>
        </w:rPr>
      </w:pPr>
      <w:r w:rsidRPr="009C2406">
        <w:rPr>
          <w:sz w:val="22"/>
          <w:szCs w:val="22"/>
        </w:rPr>
        <w:t>Departments are encouraged to propose joint purchases when appropriate.</w:t>
      </w:r>
    </w:p>
    <w:p w14:paraId="09712FC2" w14:textId="25C72055" w:rsidR="00A22BAF" w:rsidRPr="009C2406" w:rsidRDefault="00A22BAF" w:rsidP="00A22BAF">
      <w:pPr>
        <w:rPr>
          <w:sz w:val="22"/>
          <w:szCs w:val="22"/>
        </w:rPr>
      </w:pPr>
    </w:p>
    <w:p w14:paraId="5641E4CA" w14:textId="77777777" w:rsidR="00A22BAF" w:rsidRPr="009C2406" w:rsidRDefault="00A22BAF" w:rsidP="00A22BAF">
      <w:pPr>
        <w:rPr>
          <w:b/>
          <w:bCs/>
          <w:sz w:val="22"/>
          <w:szCs w:val="22"/>
        </w:rPr>
      </w:pPr>
      <w:r w:rsidRPr="009C2406">
        <w:rPr>
          <w:b/>
          <w:bCs/>
          <w:sz w:val="22"/>
          <w:szCs w:val="22"/>
        </w:rPr>
        <w:t>VI. Unused Approved Requests</w:t>
      </w:r>
    </w:p>
    <w:p w14:paraId="38F305E1" w14:textId="77777777" w:rsidR="00A22BAF" w:rsidRPr="009C2406" w:rsidRDefault="00A22BAF" w:rsidP="00A22BAF">
      <w:pPr>
        <w:rPr>
          <w:sz w:val="22"/>
          <w:szCs w:val="22"/>
        </w:rPr>
      </w:pPr>
      <w:r w:rsidRPr="009C2406">
        <w:rPr>
          <w:sz w:val="22"/>
          <w:szCs w:val="22"/>
        </w:rPr>
        <w:t>If a department does not spend approved funds within the fiscal year, the group may:</w:t>
      </w:r>
    </w:p>
    <w:p w14:paraId="5E35632D" w14:textId="77777777" w:rsidR="00A22BAF" w:rsidRPr="009C2406" w:rsidRDefault="00A22BAF" w:rsidP="006C6306">
      <w:pPr>
        <w:numPr>
          <w:ilvl w:val="0"/>
          <w:numId w:val="8"/>
        </w:numPr>
        <w:spacing w:after="0" w:line="240" w:lineRule="auto"/>
        <w:rPr>
          <w:sz w:val="22"/>
          <w:szCs w:val="22"/>
        </w:rPr>
      </w:pPr>
      <w:r w:rsidRPr="009C2406">
        <w:rPr>
          <w:sz w:val="22"/>
          <w:szCs w:val="22"/>
        </w:rPr>
        <w:t>Extend approval into the next fiscal year, or</w:t>
      </w:r>
    </w:p>
    <w:p w14:paraId="412A9867" w14:textId="77777777" w:rsidR="00A22BAF" w:rsidRPr="009C2406" w:rsidRDefault="00A22BAF" w:rsidP="006C6306">
      <w:pPr>
        <w:numPr>
          <w:ilvl w:val="0"/>
          <w:numId w:val="8"/>
        </w:numPr>
        <w:spacing w:after="0" w:line="240" w:lineRule="auto"/>
        <w:rPr>
          <w:sz w:val="22"/>
          <w:szCs w:val="22"/>
        </w:rPr>
      </w:pPr>
      <w:r w:rsidRPr="009C2406">
        <w:rPr>
          <w:sz w:val="22"/>
          <w:szCs w:val="22"/>
        </w:rPr>
        <w:t>Require the request to be reconsidered in the next planning cycle.</w:t>
      </w:r>
    </w:p>
    <w:p w14:paraId="6532E5B6" w14:textId="77777777" w:rsidR="006C6306" w:rsidRPr="009C2406" w:rsidRDefault="006C6306" w:rsidP="00A22BAF">
      <w:pPr>
        <w:rPr>
          <w:sz w:val="22"/>
          <w:szCs w:val="22"/>
        </w:rPr>
      </w:pPr>
    </w:p>
    <w:p w14:paraId="1A258634" w14:textId="2D5D091A" w:rsidR="00A22BAF" w:rsidRPr="009C2406" w:rsidRDefault="00A22BAF" w:rsidP="00A22BAF">
      <w:pPr>
        <w:rPr>
          <w:sz w:val="22"/>
          <w:szCs w:val="22"/>
        </w:rPr>
      </w:pPr>
      <w:r w:rsidRPr="009C2406">
        <w:rPr>
          <w:sz w:val="22"/>
          <w:szCs w:val="22"/>
        </w:rPr>
        <w:t>Funds may be earmarked for multi-year purchases if agreed upon during the planning process.</w:t>
      </w:r>
    </w:p>
    <w:p w14:paraId="361A107B" w14:textId="77777777" w:rsidR="00A22BAF" w:rsidRPr="009C2406" w:rsidRDefault="00A22BAF" w:rsidP="00A22BAF">
      <w:pPr>
        <w:rPr>
          <w:b/>
          <w:bCs/>
          <w:sz w:val="22"/>
          <w:szCs w:val="22"/>
        </w:rPr>
      </w:pPr>
      <w:r w:rsidRPr="009C2406">
        <w:rPr>
          <w:b/>
          <w:bCs/>
          <w:sz w:val="22"/>
          <w:szCs w:val="22"/>
        </w:rPr>
        <w:t>VII. Transparency and Reporting</w:t>
      </w:r>
    </w:p>
    <w:p w14:paraId="20F6FF46" w14:textId="77777777" w:rsidR="00A22BAF" w:rsidRPr="009C2406" w:rsidRDefault="00A22BAF" w:rsidP="006C6306">
      <w:pPr>
        <w:numPr>
          <w:ilvl w:val="0"/>
          <w:numId w:val="9"/>
        </w:numPr>
        <w:spacing w:after="0" w:line="240" w:lineRule="auto"/>
        <w:rPr>
          <w:sz w:val="22"/>
          <w:szCs w:val="22"/>
        </w:rPr>
      </w:pPr>
      <w:r w:rsidRPr="009C2406">
        <w:rPr>
          <w:sz w:val="22"/>
          <w:szCs w:val="22"/>
        </w:rPr>
        <w:t>Departments receive an annual report on expenditures and fund balances.</w:t>
      </w:r>
    </w:p>
    <w:p w14:paraId="3EABE9EF" w14:textId="77777777" w:rsidR="00A22BAF" w:rsidRPr="009C2406" w:rsidRDefault="00A22BAF" w:rsidP="006C6306">
      <w:pPr>
        <w:numPr>
          <w:ilvl w:val="0"/>
          <w:numId w:val="9"/>
        </w:numPr>
        <w:spacing w:after="0" w:line="240" w:lineRule="auto"/>
        <w:rPr>
          <w:sz w:val="22"/>
          <w:szCs w:val="22"/>
        </w:rPr>
      </w:pPr>
      <w:r w:rsidRPr="009C2406">
        <w:rPr>
          <w:sz w:val="22"/>
          <w:szCs w:val="22"/>
        </w:rPr>
        <w:lastRenderedPageBreak/>
        <w:t>All purchases must be submitted through the Science Center Support Coordinator to ensure proper tracking and accountability.</w:t>
      </w:r>
    </w:p>
    <w:p w14:paraId="544B0BCC" w14:textId="77777777" w:rsidR="006C6306" w:rsidRPr="009C2406" w:rsidRDefault="006C6306" w:rsidP="00A22BAF">
      <w:pPr>
        <w:rPr>
          <w:b/>
          <w:bCs/>
          <w:sz w:val="22"/>
          <w:szCs w:val="22"/>
        </w:rPr>
      </w:pPr>
    </w:p>
    <w:p w14:paraId="2D25D1E3" w14:textId="6CA36AF4" w:rsidR="00A22BAF" w:rsidRPr="009C2406" w:rsidRDefault="00A22BAF" w:rsidP="00A22BAF">
      <w:pPr>
        <w:rPr>
          <w:b/>
          <w:bCs/>
          <w:sz w:val="22"/>
          <w:szCs w:val="22"/>
        </w:rPr>
      </w:pPr>
      <w:r w:rsidRPr="009C2406">
        <w:rPr>
          <w:b/>
          <w:bCs/>
          <w:sz w:val="22"/>
          <w:szCs w:val="22"/>
        </w:rPr>
        <w:t>VIII. Conflict Resolution</w:t>
      </w:r>
    </w:p>
    <w:p w14:paraId="1EF1BABF" w14:textId="77777777" w:rsidR="00A22BAF" w:rsidRPr="009C2406" w:rsidRDefault="00A22BAF" w:rsidP="00E94FDC">
      <w:pPr>
        <w:spacing w:after="0" w:line="240" w:lineRule="auto"/>
        <w:rPr>
          <w:sz w:val="22"/>
          <w:szCs w:val="22"/>
        </w:rPr>
      </w:pPr>
      <w:r w:rsidRPr="009C2406">
        <w:rPr>
          <w:sz w:val="22"/>
          <w:szCs w:val="22"/>
        </w:rPr>
        <w:t>If consensus on spending priorities cannot be reached among department chairs, the Office of Academic Affairs will mediate and make the final determination.</w:t>
      </w:r>
    </w:p>
    <w:p w14:paraId="563CD040" w14:textId="77777777" w:rsidR="008F05DC" w:rsidRDefault="008F05DC" w:rsidP="00A22BAF">
      <w:pPr>
        <w:rPr>
          <w:b/>
          <w:bCs/>
          <w:sz w:val="22"/>
          <w:szCs w:val="22"/>
        </w:rPr>
      </w:pPr>
    </w:p>
    <w:p w14:paraId="272E5948" w14:textId="79E80CB7" w:rsidR="00A22BAF" w:rsidRPr="009C2406" w:rsidRDefault="00A22BAF" w:rsidP="00A22BAF">
      <w:pPr>
        <w:rPr>
          <w:b/>
          <w:bCs/>
          <w:sz w:val="22"/>
          <w:szCs w:val="22"/>
        </w:rPr>
      </w:pPr>
      <w:r w:rsidRPr="009C2406">
        <w:rPr>
          <w:b/>
          <w:bCs/>
          <w:sz w:val="22"/>
          <w:szCs w:val="22"/>
        </w:rPr>
        <w:t>IX. Coordination with Other Funds</w:t>
      </w:r>
    </w:p>
    <w:p w14:paraId="3823E750" w14:textId="77777777" w:rsidR="00A22BAF" w:rsidRPr="009C2406" w:rsidRDefault="00A22BAF" w:rsidP="006C6306">
      <w:pPr>
        <w:numPr>
          <w:ilvl w:val="0"/>
          <w:numId w:val="10"/>
        </w:numPr>
        <w:spacing w:after="0" w:line="240" w:lineRule="auto"/>
        <w:rPr>
          <w:sz w:val="22"/>
          <w:szCs w:val="22"/>
        </w:rPr>
      </w:pPr>
      <w:r w:rsidRPr="009C2406">
        <w:rPr>
          <w:sz w:val="22"/>
          <w:szCs w:val="22"/>
        </w:rPr>
        <w:t>Departments may co-fund purchases using departmental operating budgets or the Science Center Equipment Fund.</w:t>
      </w:r>
    </w:p>
    <w:p w14:paraId="546DBED4" w14:textId="77777777" w:rsidR="00A22BAF" w:rsidRPr="009C2406" w:rsidRDefault="00A22BAF" w:rsidP="006C6306">
      <w:pPr>
        <w:numPr>
          <w:ilvl w:val="0"/>
          <w:numId w:val="10"/>
        </w:numPr>
        <w:spacing w:after="0" w:line="240" w:lineRule="auto"/>
        <w:rPr>
          <w:sz w:val="22"/>
          <w:szCs w:val="22"/>
        </w:rPr>
      </w:pPr>
      <w:r w:rsidRPr="009C2406">
        <w:rPr>
          <w:sz w:val="22"/>
          <w:szCs w:val="22"/>
        </w:rPr>
        <w:t>Requests involving multiple funding sources should clearly indicate the split and justification.</w:t>
      </w:r>
    </w:p>
    <w:p w14:paraId="113EB1E5" w14:textId="5ED61131" w:rsidR="00A22BAF" w:rsidRPr="009C2406" w:rsidRDefault="00A22BAF" w:rsidP="00A22BAF">
      <w:pPr>
        <w:rPr>
          <w:sz w:val="22"/>
          <w:szCs w:val="22"/>
        </w:rPr>
      </w:pPr>
    </w:p>
    <w:p w14:paraId="2D3B60BB" w14:textId="77777777" w:rsidR="00A22BAF" w:rsidRPr="009C2406" w:rsidRDefault="00A22BAF" w:rsidP="00A22BAF">
      <w:pPr>
        <w:rPr>
          <w:b/>
          <w:bCs/>
          <w:sz w:val="22"/>
          <w:szCs w:val="22"/>
        </w:rPr>
      </w:pPr>
      <w:r w:rsidRPr="009C2406">
        <w:rPr>
          <w:b/>
          <w:bCs/>
          <w:sz w:val="22"/>
          <w:szCs w:val="22"/>
        </w:rPr>
        <w:t>X. Policy Review and Revisions</w:t>
      </w:r>
    </w:p>
    <w:p w14:paraId="59FAA4CC" w14:textId="2D368021" w:rsidR="00A22BAF" w:rsidRPr="009C2406" w:rsidRDefault="00A22BAF" w:rsidP="00E94FDC">
      <w:pPr>
        <w:spacing w:after="0" w:line="240" w:lineRule="auto"/>
        <w:rPr>
          <w:sz w:val="22"/>
          <w:szCs w:val="22"/>
        </w:rPr>
      </w:pPr>
      <w:r w:rsidRPr="009C2406">
        <w:rPr>
          <w:sz w:val="22"/>
          <w:szCs w:val="22"/>
        </w:rPr>
        <w:t>This policy is maintained by the Office of Academic Affairs.</w:t>
      </w:r>
      <w:r w:rsidR="00695C33">
        <w:rPr>
          <w:sz w:val="22"/>
          <w:szCs w:val="22"/>
        </w:rPr>
        <w:t xml:space="preserve"> </w:t>
      </w:r>
      <w:r w:rsidRPr="009C2406">
        <w:rPr>
          <w:sz w:val="22"/>
          <w:szCs w:val="22"/>
        </w:rPr>
        <w:t>Revisions may be made in consultation with department chairs to reflect changing needs, budget realities, or institutional priorities.</w:t>
      </w:r>
    </w:p>
    <w:p w14:paraId="3E8F25A7" w14:textId="77777777" w:rsidR="00A22BAF" w:rsidRDefault="00A22BAF"/>
    <w:sectPr w:rsidR="00A22BAF" w:rsidSect="009C2406">
      <w:type w:val="continuous"/>
      <w:pgSz w:w="12240" w:h="15840"/>
      <w:pgMar w:top="99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736AF" w14:textId="77777777" w:rsidR="00A4569E" w:rsidRDefault="00A4569E" w:rsidP="00DD032C">
      <w:pPr>
        <w:spacing w:after="0" w:line="240" w:lineRule="auto"/>
      </w:pPr>
      <w:r>
        <w:separator/>
      </w:r>
    </w:p>
  </w:endnote>
  <w:endnote w:type="continuationSeparator" w:id="0">
    <w:p w14:paraId="68656DED" w14:textId="77777777" w:rsidR="00A4569E" w:rsidRDefault="00A4569E" w:rsidP="00DD0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E409A" w14:textId="77777777" w:rsidR="00DD032C" w:rsidRDefault="00DD03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65A3F" w14:textId="77777777" w:rsidR="00DD032C" w:rsidRDefault="00DD03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8011" w14:textId="77777777" w:rsidR="00DD032C" w:rsidRDefault="00DD03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79834" w14:textId="77777777" w:rsidR="00A4569E" w:rsidRDefault="00A4569E" w:rsidP="00DD032C">
      <w:pPr>
        <w:spacing w:after="0" w:line="240" w:lineRule="auto"/>
      </w:pPr>
      <w:r>
        <w:separator/>
      </w:r>
    </w:p>
  </w:footnote>
  <w:footnote w:type="continuationSeparator" w:id="0">
    <w:p w14:paraId="1EDC8BA0" w14:textId="77777777" w:rsidR="00A4569E" w:rsidRDefault="00A4569E" w:rsidP="00DD0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5C45B" w14:textId="77777777" w:rsidR="00DD032C" w:rsidRDefault="00DD03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5663" w14:textId="6DBA48E4" w:rsidR="00DD032C" w:rsidRDefault="00DD03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B0E93" w14:textId="77777777" w:rsidR="00DD032C" w:rsidRDefault="00DD03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647F2"/>
    <w:multiLevelType w:val="multilevel"/>
    <w:tmpl w:val="9E9A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87C88"/>
    <w:multiLevelType w:val="multilevel"/>
    <w:tmpl w:val="A4A00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A07CC5"/>
    <w:multiLevelType w:val="multilevel"/>
    <w:tmpl w:val="C742C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D1086D"/>
    <w:multiLevelType w:val="multilevel"/>
    <w:tmpl w:val="DCD0A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427FCE"/>
    <w:multiLevelType w:val="multilevel"/>
    <w:tmpl w:val="B470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D13EB7"/>
    <w:multiLevelType w:val="multilevel"/>
    <w:tmpl w:val="412EE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1A6F8E"/>
    <w:multiLevelType w:val="multilevel"/>
    <w:tmpl w:val="EC0C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C905AB"/>
    <w:multiLevelType w:val="multilevel"/>
    <w:tmpl w:val="315CF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0D0943"/>
    <w:multiLevelType w:val="hybridMultilevel"/>
    <w:tmpl w:val="2206A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6B3947"/>
    <w:multiLevelType w:val="multilevel"/>
    <w:tmpl w:val="3BA20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4362BD"/>
    <w:multiLevelType w:val="multilevel"/>
    <w:tmpl w:val="6FE2B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9802742">
    <w:abstractNumId w:val="10"/>
  </w:num>
  <w:num w:numId="2" w16cid:durableId="1333407636">
    <w:abstractNumId w:val="6"/>
  </w:num>
  <w:num w:numId="3" w16cid:durableId="286667390">
    <w:abstractNumId w:val="9"/>
  </w:num>
  <w:num w:numId="4" w16cid:durableId="3636063">
    <w:abstractNumId w:val="4"/>
  </w:num>
  <w:num w:numId="5" w16cid:durableId="1641375006">
    <w:abstractNumId w:val="2"/>
  </w:num>
  <w:num w:numId="6" w16cid:durableId="1736510642">
    <w:abstractNumId w:val="7"/>
  </w:num>
  <w:num w:numId="7" w16cid:durableId="1529682592">
    <w:abstractNumId w:val="3"/>
  </w:num>
  <w:num w:numId="8" w16cid:durableId="815995086">
    <w:abstractNumId w:val="1"/>
  </w:num>
  <w:num w:numId="9" w16cid:durableId="1723870895">
    <w:abstractNumId w:val="5"/>
  </w:num>
  <w:num w:numId="10" w16cid:durableId="123736033">
    <w:abstractNumId w:val="0"/>
  </w:num>
  <w:num w:numId="11" w16cid:durableId="16027642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BAF"/>
    <w:rsid w:val="00011A5F"/>
    <w:rsid w:val="003F2B4C"/>
    <w:rsid w:val="004F3B4D"/>
    <w:rsid w:val="00533054"/>
    <w:rsid w:val="005610FE"/>
    <w:rsid w:val="00695C33"/>
    <w:rsid w:val="006C6306"/>
    <w:rsid w:val="007B7622"/>
    <w:rsid w:val="008F05DC"/>
    <w:rsid w:val="0095057C"/>
    <w:rsid w:val="0099477C"/>
    <w:rsid w:val="009C2406"/>
    <w:rsid w:val="00A22BAF"/>
    <w:rsid w:val="00A4569E"/>
    <w:rsid w:val="00AD6A50"/>
    <w:rsid w:val="00DD032C"/>
    <w:rsid w:val="00E94FDC"/>
    <w:rsid w:val="00FF6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CDF1B"/>
  <w15:chartTrackingRefBased/>
  <w15:docId w15:val="{3D24B0FF-7DD2-4D60-B9A9-26612CA38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B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2B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2B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B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B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B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B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B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B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B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2B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2B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B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B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B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B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B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BAF"/>
    <w:rPr>
      <w:rFonts w:eastAsiaTheme="majorEastAsia" w:cstheme="majorBidi"/>
      <w:color w:val="272727" w:themeColor="text1" w:themeTint="D8"/>
    </w:rPr>
  </w:style>
  <w:style w:type="paragraph" w:styleId="Title">
    <w:name w:val="Title"/>
    <w:basedOn w:val="Normal"/>
    <w:next w:val="Normal"/>
    <w:link w:val="TitleChar"/>
    <w:uiPriority w:val="10"/>
    <w:qFormat/>
    <w:rsid w:val="00A22B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B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B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B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BAF"/>
    <w:pPr>
      <w:spacing w:before="160"/>
      <w:jc w:val="center"/>
    </w:pPr>
    <w:rPr>
      <w:i/>
      <w:iCs/>
      <w:color w:val="404040" w:themeColor="text1" w:themeTint="BF"/>
    </w:rPr>
  </w:style>
  <w:style w:type="character" w:customStyle="1" w:styleId="QuoteChar">
    <w:name w:val="Quote Char"/>
    <w:basedOn w:val="DefaultParagraphFont"/>
    <w:link w:val="Quote"/>
    <w:uiPriority w:val="29"/>
    <w:rsid w:val="00A22BAF"/>
    <w:rPr>
      <w:i/>
      <w:iCs/>
      <w:color w:val="404040" w:themeColor="text1" w:themeTint="BF"/>
    </w:rPr>
  </w:style>
  <w:style w:type="paragraph" w:styleId="ListParagraph">
    <w:name w:val="List Paragraph"/>
    <w:basedOn w:val="Normal"/>
    <w:uiPriority w:val="34"/>
    <w:qFormat/>
    <w:rsid w:val="00A22BAF"/>
    <w:pPr>
      <w:ind w:left="720"/>
      <w:contextualSpacing/>
    </w:pPr>
  </w:style>
  <w:style w:type="character" w:styleId="IntenseEmphasis">
    <w:name w:val="Intense Emphasis"/>
    <w:basedOn w:val="DefaultParagraphFont"/>
    <w:uiPriority w:val="21"/>
    <w:qFormat/>
    <w:rsid w:val="00A22BAF"/>
    <w:rPr>
      <w:i/>
      <w:iCs/>
      <w:color w:val="0F4761" w:themeColor="accent1" w:themeShade="BF"/>
    </w:rPr>
  </w:style>
  <w:style w:type="paragraph" w:styleId="IntenseQuote">
    <w:name w:val="Intense Quote"/>
    <w:basedOn w:val="Normal"/>
    <w:next w:val="Normal"/>
    <w:link w:val="IntenseQuoteChar"/>
    <w:uiPriority w:val="30"/>
    <w:qFormat/>
    <w:rsid w:val="00A22B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BAF"/>
    <w:rPr>
      <w:i/>
      <w:iCs/>
      <w:color w:val="0F4761" w:themeColor="accent1" w:themeShade="BF"/>
    </w:rPr>
  </w:style>
  <w:style w:type="character" w:styleId="IntenseReference">
    <w:name w:val="Intense Reference"/>
    <w:basedOn w:val="DefaultParagraphFont"/>
    <w:uiPriority w:val="32"/>
    <w:qFormat/>
    <w:rsid w:val="00A22BAF"/>
    <w:rPr>
      <w:b/>
      <w:bCs/>
      <w:smallCaps/>
      <w:color w:val="0F4761" w:themeColor="accent1" w:themeShade="BF"/>
      <w:spacing w:val="5"/>
    </w:rPr>
  </w:style>
  <w:style w:type="paragraph" w:styleId="Header">
    <w:name w:val="header"/>
    <w:basedOn w:val="Normal"/>
    <w:link w:val="HeaderChar"/>
    <w:uiPriority w:val="99"/>
    <w:unhideWhenUsed/>
    <w:rsid w:val="00DD0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32C"/>
  </w:style>
  <w:style w:type="paragraph" w:styleId="Footer">
    <w:name w:val="footer"/>
    <w:basedOn w:val="Normal"/>
    <w:link w:val="FooterChar"/>
    <w:uiPriority w:val="99"/>
    <w:unhideWhenUsed/>
    <w:rsid w:val="00DD0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45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Hanover College</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Adams</dc:creator>
  <cp:keywords/>
  <dc:description/>
  <cp:lastModifiedBy>Carey Adams</cp:lastModifiedBy>
  <cp:revision>2</cp:revision>
  <dcterms:created xsi:type="dcterms:W3CDTF">2025-09-15T19:59:00Z</dcterms:created>
  <dcterms:modified xsi:type="dcterms:W3CDTF">2025-09-15T19:59:00Z</dcterms:modified>
</cp:coreProperties>
</file>